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253717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253717">
              <w:t>DE LA UNIÓN EUROPEA</w:t>
            </w:r>
          </w:p>
        </w:tc>
        <w:tc>
          <w:tcPr>
            <w:tcW w:w="1123" w:type="dxa"/>
          </w:tcPr>
          <w:p w:rsidR="003A369F" w:rsidRDefault="00253717" w:rsidP="00F17678">
            <w:pPr>
              <w:jc w:val="center"/>
            </w:pPr>
            <w:r>
              <w:t>9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06BB1" w:rsidP="00782707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Default="002F16F9" w:rsidP="008F7C86">
            <w:r>
              <w:t>Doctor.</w:t>
            </w:r>
          </w:p>
          <w:p w:rsidR="002F16F9" w:rsidRPr="008F7C86" w:rsidRDefault="002F16F9" w:rsidP="008F7C86">
            <w:r>
              <w:t>Profesor Ayudante Doctor desde diciembre de 2017.</w:t>
            </w:r>
          </w:p>
          <w:p w:rsidR="001D7F79" w:rsidRPr="00826C05" w:rsidRDefault="002F16F9">
            <w:r>
              <w:t>Profesor asociado (4+4) de la U. Carlos III de Madrid de 2009 a 2013 y profesor asociado (6+6) de la U. Complutense de Madrid desde 2011 a 2017.</w:t>
            </w:r>
          </w:p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2F16F9" w:rsidP="002F16F9">
            <w:r>
              <w:t>Derecho europeo y comparado de la inmigración; libre circulación de personas y ciudadanía; federalismo.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8F7C86">
            <w:pPr>
              <w:jc w:val="both"/>
            </w:pP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Pr="008F7C86" w:rsidRDefault="00F77EB7" w:rsidP="006E5F82">
            <w:pPr>
              <w:rPr>
                <w:color w:val="FF0000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2F16F9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</w:p>
          <w:p w:rsidR="002F16F9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872544">
              <w:rPr>
                <w:rFonts w:ascii="Times New Roman" w:hAnsi="Times New Roman" w:cs="Times New Roman"/>
              </w:rPr>
              <w:t>Las fuentes del Derecho de la Unión Europea. Cuadernos de Derecho para</w:t>
            </w:r>
            <w:r>
              <w:rPr>
                <w:rFonts w:ascii="Times New Roman" w:hAnsi="Times New Roman" w:cs="Times New Roman"/>
              </w:rPr>
              <w:t xml:space="preserve"> ingenieros” en </w:t>
            </w:r>
            <w:r w:rsidRPr="00872544">
              <w:rPr>
                <w:rFonts w:ascii="Times New Roman" w:hAnsi="Times New Roman" w:cs="Times New Roman"/>
                <w:i/>
              </w:rPr>
              <w:t>Fuentes e instituciones del Derecho Comunitario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Wolters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Kluwer</w:t>
            </w:r>
            <w:proofErr w:type="spellEnd"/>
            <w:r>
              <w:rPr>
                <w:rFonts w:ascii="Times New Roman" w:hAnsi="Times New Roman" w:cs="Times New Roman"/>
              </w:rPr>
              <w:t>, 2014, pp. 1</w:t>
            </w:r>
            <w:r w:rsidRPr="00872544">
              <w:rPr>
                <w:rFonts w:ascii="Times New Roman" w:hAnsi="Times New Roman" w:cs="Times New Roman"/>
              </w:rPr>
              <w:t>-20.</w:t>
            </w:r>
          </w:p>
          <w:p w:rsidR="002F16F9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</w:p>
          <w:p w:rsidR="002F16F9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  <w:r w:rsidRPr="00343C26">
              <w:rPr>
                <w:rFonts w:ascii="Times New Roman" w:hAnsi="Times New Roman" w:cs="Times New Roman"/>
              </w:rPr>
              <w:t xml:space="preserve">“El internamiento de extranjeros y sus límites” en </w:t>
            </w:r>
            <w:r w:rsidRPr="00343C26">
              <w:rPr>
                <w:rFonts w:ascii="Times New Roman" w:hAnsi="Times New Roman" w:cs="Times New Roman"/>
                <w:i/>
              </w:rPr>
              <w:t xml:space="preserve">Administración y Justicia. Un análisis jurisprudencial (España, Europa y América). </w:t>
            </w:r>
            <w:proofErr w:type="spellStart"/>
            <w:r w:rsidRPr="00343C26">
              <w:rPr>
                <w:rFonts w:ascii="Times New Roman" w:hAnsi="Times New Roman" w:cs="Times New Roman"/>
                <w:i/>
              </w:rPr>
              <w:t>Liber</w:t>
            </w:r>
            <w:proofErr w:type="spellEnd"/>
            <w:r w:rsidRPr="00343C2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3C26">
              <w:rPr>
                <w:rFonts w:ascii="Times New Roman" w:hAnsi="Times New Roman" w:cs="Times New Roman"/>
                <w:i/>
              </w:rPr>
              <w:t>Amicorum</w:t>
            </w:r>
            <w:proofErr w:type="spellEnd"/>
            <w:r w:rsidRPr="00343C26">
              <w:rPr>
                <w:rFonts w:ascii="Times New Roman" w:hAnsi="Times New Roman" w:cs="Times New Roman"/>
                <w:i/>
              </w:rPr>
              <w:t xml:space="preserve"> Tomás-Ramón</w:t>
            </w:r>
            <w:r w:rsidRPr="00343C26">
              <w:rPr>
                <w:rFonts w:ascii="Times New Roman" w:hAnsi="Times New Roman" w:cs="Times New Roman"/>
              </w:rPr>
              <w:t xml:space="preserve"> </w:t>
            </w:r>
            <w:r w:rsidRPr="00343C26">
              <w:rPr>
                <w:rFonts w:ascii="Times New Roman" w:hAnsi="Times New Roman" w:cs="Times New Roman"/>
                <w:i/>
              </w:rPr>
              <w:t>Fernández</w:t>
            </w:r>
            <w:r w:rsidRPr="00343C26">
              <w:rPr>
                <w:rFonts w:ascii="Times New Roman" w:hAnsi="Times New Roman" w:cs="Times New Roman"/>
              </w:rPr>
              <w:t>, E. García de Enterría and R. Alonso García (</w:t>
            </w:r>
            <w:proofErr w:type="spellStart"/>
            <w:r w:rsidRPr="00343C26">
              <w:rPr>
                <w:rFonts w:ascii="Times New Roman" w:hAnsi="Times New Roman" w:cs="Times New Roman"/>
              </w:rPr>
              <w:t>eds</w:t>
            </w:r>
            <w:proofErr w:type="spellEnd"/>
            <w:r w:rsidRPr="00343C26">
              <w:rPr>
                <w:rFonts w:ascii="Times New Roman" w:hAnsi="Times New Roman" w:cs="Times New Roman"/>
              </w:rPr>
              <w:t>), Thomson/</w:t>
            </w:r>
            <w:proofErr w:type="spellStart"/>
            <w:r>
              <w:rPr>
                <w:rFonts w:ascii="Times New Roman" w:hAnsi="Times New Roman" w:cs="Times New Roman"/>
              </w:rPr>
              <w:t>Civitas</w:t>
            </w:r>
            <w:proofErr w:type="spellEnd"/>
            <w:r>
              <w:rPr>
                <w:rFonts w:ascii="Times New Roman" w:hAnsi="Times New Roman" w:cs="Times New Roman"/>
              </w:rPr>
              <w:t>, Madrid, 2012, pp. 3305-</w:t>
            </w:r>
            <w:r w:rsidRPr="00343C26">
              <w:rPr>
                <w:rFonts w:ascii="Times New Roman" w:hAnsi="Times New Roman" w:cs="Times New Roman"/>
              </w:rPr>
              <w:t>3327.</w:t>
            </w:r>
          </w:p>
          <w:p w:rsidR="002F16F9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</w:p>
          <w:p w:rsidR="002F16F9" w:rsidRPr="002F16F9" w:rsidRDefault="002F16F9" w:rsidP="002F16F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F16F9">
              <w:rPr>
                <w:rFonts w:ascii="Times New Roman" w:hAnsi="Times New Roman" w:cs="Times New Roman"/>
                <w:lang w:val="en-US"/>
              </w:rPr>
              <w:t>“</w:t>
            </w:r>
            <w:proofErr w:type="spellStart"/>
            <w:r w:rsidRPr="002F16F9">
              <w:rPr>
                <w:rFonts w:ascii="Times New Roman" w:hAnsi="Times New Roman" w:cs="Times New Roman"/>
                <w:lang w:val="en-US"/>
              </w:rPr>
              <w:t>Crimmigration</w:t>
            </w:r>
            <w:proofErr w:type="spellEnd"/>
            <w:r w:rsidRPr="002F16F9">
              <w:rPr>
                <w:rFonts w:ascii="Times New Roman" w:hAnsi="Times New Roman" w:cs="Times New Roman"/>
                <w:lang w:val="en-US"/>
              </w:rPr>
              <w:t xml:space="preserve"> before the ECJ: protecting irregular immigrant rights by Stealth?</w:t>
            </w:r>
            <w:proofErr w:type="gramStart"/>
            <w:r w:rsidRPr="002F16F9">
              <w:rPr>
                <w:rFonts w:ascii="Times New Roman" w:hAnsi="Times New Roman" w:cs="Times New Roman"/>
                <w:lang w:val="en-US"/>
              </w:rPr>
              <w:t>”,</w:t>
            </w:r>
            <w:proofErr w:type="gramEnd"/>
            <w:r w:rsidRPr="002F16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F16F9">
              <w:rPr>
                <w:rFonts w:ascii="Times New Roman" w:hAnsi="Times New Roman" w:cs="Times New Roman"/>
                <w:i/>
                <w:lang w:val="en-US"/>
              </w:rPr>
              <w:t xml:space="preserve">New Journal of European Criminal Law </w:t>
            </w:r>
            <w:r w:rsidRPr="002F16F9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2F16F9"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  <w:r w:rsidRPr="002F16F9">
              <w:rPr>
                <w:rFonts w:ascii="Times New Roman" w:hAnsi="Times New Roman" w:cs="Times New Roman"/>
                <w:lang w:val="en-US"/>
              </w:rPr>
              <w:t xml:space="preserve"> fase de revision </w:t>
            </w:r>
            <w:proofErr w:type="spellStart"/>
            <w:r w:rsidRPr="002F16F9">
              <w:rPr>
                <w:rFonts w:ascii="Times New Roman" w:hAnsi="Times New Roman" w:cs="Times New Roman"/>
                <w:lang w:val="en-US"/>
              </w:rPr>
              <w:t>por</w:t>
            </w:r>
            <w:proofErr w:type="spellEnd"/>
            <w:r w:rsidRPr="002F16F9">
              <w:rPr>
                <w:rFonts w:ascii="Times New Roman" w:hAnsi="Times New Roman" w:cs="Times New Roman"/>
                <w:lang w:val="en-US"/>
              </w:rPr>
              <w:t xml:space="preserve"> pares).</w:t>
            </w:r>
          </w:p>
          <w:p w:rsidR="002F16F9" w:rsidRPr="002F16F9" w:rsidRDefault="002F16F9" w:rsidP="002F16F9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</w:p>
          <w:p w:rsidR="002F16F9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  <w:r w:rsidRPr="00343C26">
              <w:rPr>
                <w:rFonts w:ascii="Times New Roman" w:hAnsi="Times New Roman" w:cs="Times New Roman"/>
              </w:rPr>
              <w:t xml:space="preserve">“La regulación de la expulsión administrativa por estancia irregular en España, incompatible con la Directiva de retorno. </w:t>
            </w:r>
            <w:r w:rsidRPr="00323DD6">
              <w:rPr>
                <w:rFonts w:ascii="Times New Roman" w:hAnsi="Times New Roman" w:cs="Times New Roman"/>
              </w:rPr>
              <w:t xml:space="preserve">A propósito del asunto </w:t>
            </w:r>
            <w:proofErr w:type="spellStart"/>
            <w:r w:rsidRPr="00323DD6">
              <w:rPr>
                <w:rFonts w:ascii="Times New Roman" w:hAnsi="Times New Roman" w:cs="Times New Roman"/>
                <w:i/>
              </w:rPr>
              <w:t>Zaizoune</w:t>
            </w:r>
            <w:proofErr w:type="spellEnd"/>
            <w:r w:rsidRPr="00323DD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,</w:t>
            </w:r>
            <w:r w:rsidRPr="00343C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Revista Española de Derecho Europeo</w:t>
            </w:r>
            <w:r w:rsidRPr="00343C26">
              <w:rPr>
                <w:rFonts w:ascii="Times New Roman" w:hAnsi="Times New Roman" w:cs="Times New Roman"/>
              </w:rPr>
              <w:t xml:space="preserve">, nº </w:t>
            </w:r>
            <w:r>
              <w:rPr>
                <w:rFonts w:ascii="Times New Roman" w:hAnsi="Times New Roman" w:cs="Times New Roman"/>
              </w:rPr>
              <w:t xml:space="preserve">55 </w:t>
            </w:r>
            <w:r w:rsidRPr="00343C26">
              <w:rPr>
                <w:rFonts w:ascii="Times New Roman" w:hAnsi="Times New Roman" w:cs="Times New Roman"/>
              </w:rPr>
              <w:t>(201</w:t>
            </w:r>
            <w:r>
              <w:rPr>
                <w:rFonts w:ascii="Times New Roman" w:hAnsi="Times New Roman" w:cs="Times New Roman"/>
              </w:rPr>
              <w:t>5</w:t>
            </w:r>
            <w:r w:rsidRPr="00343C26">
              <w:rPr>
                <w:rFonts w:ascii="Times New Roman" w:hAnsi="Times New Roman" w:cs="Times New Roman"/>
              </w:rPr>
              <w:t>), pp.</w:t>
            </w:r>
            <w:r w:rsidRPr="00616DC9">
              <w:rPr>
                <w:rFonts w:ascii="Times New Roman" w:hAnsi="Times New Roman" w:cs="Times New Roman"/>
              </w:rPr>
              <w:t xml:space="preserve"> 133-158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16F9" w:rsidRPr="00343C26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</w:p>
          <w:p w:rsidR="002F16F9" w:rsidRPr="00343C26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  <w:r w:rsidRPr="00343C26">
              <w:rPr>
                <w:rFonts w:ascii="Times New Roman" w:hAnsi="Times New Roman" w:cs="Times New Roman"/>
              </w:rPr>
              <w:t>“La Directiva “retorno” y el alcance de la armonización del procedimien</w:t>
            </w:r>
            <w:r>
              <w:rPr>
                <w:rFonts w:ascii="Times New Roman" w:hAnsi="Times New Roman" w:cs="Times New Roman"/>
              </w:rPr>
              <w:t>to de expulsión de extranjeros”</w:t>
            </w:r>
            <w:r w:rsidRPr="00343C26">
              <w:rPr>
                <w:rFonts w:ascii="Times New Roman" w:hAnsi="Times New Roman" w:cs="Times New Roman"/>
              </w:rPr>
              <w:t xml:space="preserve">, </w:t>
            </w:r>
            <w:r w:rsidRPr="00343C26">
              <w:rPr>
                <w:rFonts w:ascii="Times New Roman" w:hAnsi="Times New Roman" w:cs="Times New Roman"/>
                <w:i/>
              </w:rPr>
              <w:t>Revista Española de Derecho del Trabajo</w:t>
            </w:r>
            <w:r w:rsidRPr="00343C26">
              <w:rPr>
                <w:rFonts w:ascii="Times New Roman" w:hAnsi="Times New Roman" w:cs="Times New Roman"/>
              </w:rPr>
              <w:t>, nº 152 (2011), pp. 1135-1151.</w:t>
            </w:r>
          </w:p>
          <w:p w:rsidR="002F16F9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</w:p>
          <w:p w:rsidR="002F16F9" w:rsidRPr="00343C26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  <w:r w:rsidRPr="00343C26">
              <w:rPr>
                <w:rFonts w:ascii="Times New Roman" w:hAnsi="Times New Roman" w:cs="Times New Roman"/>
              </w:rPr>
              <w:lastRenderedPageBreak/>
              <w:t xml:space="preserve">“La mayoría cualificada en el Consejo de la UE según el Tratado de Lisboa”, </w:t>
            </w:r>
            <w:r w:rsidRPr="00343C26">
              <w:rPr>
                <w:rFonts w:ascii="Times New Roman" w:hAnsi="Times New Roman" w:cs="Times New Roman"/>
                <w:i/>
              </w:rPr>
              <w:t xml:space="preserve">Revista Española de Derecho Europeo, </w:t>
            </w:r>
            <w:proofErr w:type="spellStart"/>
            <w:r w:rsidRPr="00343C26">
              <w:rPr>
                <w:rFonts w:ascii="Times New Roman" w:hAnsi="Times New Roman" w:cs="Times New Roman"/>
                <w:i/>
              </w:rPr>
              <w:t>Civitas</w:t>
            </w:r>
            <w:proofErr w:type="spellEnd"/>
            <w:r w:rsidRPr="00343C26">
              <w:rPr>
                <w:rFonts w:ascii="Times New Roman" w:hAnsi="Times New Roman" w:cs="Times New Roman"/>
              </w:rPr>
              <w:t>, n.° 31 (2009), pp. 309-365.</w:t>
            </w:r>
          </w:p>
          <w:p w:rsidR="002F16F9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</w:p>
          <w:p w:rsidR="002F16F9" w:rsidRPr="00343C26" w:rsidRDefault="002F16F9" w:rsidP="002F16F9">
            <w:pPr>
              <w:jc w:val="both"/>
              <w:rPr>
                <w:rFonts w:ascii="Times New Roman" w:hAnsi="Times New Roman" w:cs="Times New Roman"/>
              </w:rPr>
            </w:pPr>
            <w:r w:rsidRPr="00343C26">
              <w:rPr>
                <w:rFonts w:ascii="Times New Roman" w:hAnsi="Times New Roman" w:cs="Times New Roman"/>
              </w:rPr>
              <w:t xml:space="preserve">“¿Derecho a la objeción de conciencia del farmacéutico? A propósito de la decisión sobre admisibilidad del TEDH de 2.10.2001, as. </w:t>
            </w:r>
            <w:proofErr w:type="spellStart"/>
            <w:r w:rsidRPr="004F4327">
              <w:rPr>
                <w:rFonts w:ascii="Times New Roman" w:hAnsi="Times New Roman" w:cs="Times New Roman"/>
              </w:rPr>
              <w:t>Pichon</w:t>
            </w:r>
            <w:proofErr w:type="spellEnd"/>
            <w:r w:rsidRPr="004F4327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4F4327">
              <w:rPr>
                <w:rFonts w:ascii="Times New Roman" w:hAnsi="Times New Roman" w:cs="Times New Roman"/>
              </w:rPr>
              <w:t>Sajous</w:t>
            </w:r>
            <w:proofErr w:type="spellEnd"/>
            <w:r w:rsidRPr="004F4327">
              <w:rPr>
                <w:rFonts w:ascii="Times New Roman" w:hAnsi="Times New Roman" w:cs="Times New Roman"/>
              </w:rPr>
              <w:t xml:space="preserve"> c. Francia”</w:t>
            </w:r>
            <w:r w:rsidRPr="00343C26">
              <w:rPr>
                <w:rFonts w:ascii="Times New Roman" w:hAnsi="Times New Roman" w:cs="Times New Roman"/>
              </w:rPr>
              <w:t xml:space="preserve">, </w:t>
            </w:r>
            <w:r w:rsidRPr="00343C26">
              <w:rPr>
                <w:rFonts w:ascii="Times New Roman" w:hAnsi="Times New Roman" w:cs="Times New Roman"/>
                <w:i/>
              </w:rPr>
              <w:t>FORO: revista de ciencias jurídicas y sociales</w:t>
            </w:r>
            <w:r w:rsidRPr="00343C26">
              <w:rPr>
                <w:rFonts w:ascii="Times New Roman" w:hAnsi="Times New Roman" w:cs="Times New Roman"/>
              </w:rPr>
              <w:t>, n.° 8 (2008), pp. 243-282.</w:t>
            </w:r>
          </w:p>
          <w:p w:rsidR="00DA2581" w:rsidRPr="006504FE" w:rsidRDefault="00DA2581" w:rsidP="002F16F9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CA" w:rsidRDefault="00D52DCA" w:rsidP="001D7F79">
      <w:pPr>
        <w:spacing w:after="0" w:line="240" w:lineRule="auto"/>
      </w:pPr>
      <w:r>
        <w:separator/>
      </w:r>
    </w:p>
  </w:endnote>
  <w:endnote w:type="continuationSeparator" w:id="0">
    <w:p w:rsidR="00D52DCA" w:rsidRDefault="00D52DC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CA" w:rsidRDefault="00D52DCA" w:rsidP="001D7F79">
      <w:pPr>
        <w:spacing w:after="0" w:line="240" w:lineRule="auto"/>
      </w:pPr>
      <w:r>
        <w:separator/>
      </w:r>
    </w:p>
  </w:footnote>
  <w:footnote w:type="continuationSeparator" w:id="0">
    <w:p w:rsidR="00D52DCA" w:rsidRDefault="00D52DC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1606A"/>
    <w:rsid w:val="000C1074"/>
    <w:rsid w:val="00111DFA"/>
    <w:rsid w:val="001139AD"/>
    <w:rsid w:val="0012179E"/>
    <w:rsid w:val="00126A29"/>
    <w:rsid w:val="001338F5"/>
    <w:rsid w:val="001564FA"/>
    <w:rsid w:val="0015749A"/>
    <w:rsid w:val="00175055"/>
    <w:rsid w:val="001857B9"/>
    <w:rsid w:val="00191B18"/>
    <w:rsid w:val="001B272D"/>
    <w:rsid w:val="001D5804"/>
    <w:rsid w:val="001D7F79"/>
    <w:rsid w:val="00253717"/>
    <w:rsid w:val="002726C7"/>
    <w:rsid w:val="00276124"/>
    <w:rsid w:val="002E0289"/>
    <w:rsid w:val="002F16F9"/>
    <w:rsid w:val="003237B4"/>
    <w:rsid w:val="003A369F"/>
    <w:rsid w:val="003B1801"/>
    <w:rsid w:val="0043544B"/>
    <w:rsid w:val="004D76B6"/>
    <w:rsid w:val="004E77C4"/>
    <w:rsid w:val="00506DA3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82707"/>
    <w:rsid w:val="007F4E4F"/>
    <w:rsid w:val="00826C05"/>
    <w:rsid w:val="00863858"/>
    <w:rsid w:val="00865504"/>
    <w:rsid w:val="008F7C86"/>
    <w:rsid w:val="00974CD4"/>
    <w:rsid w:val="00990AA2"/>
    <w:rsid w:val="00AA6974"/>
    <w:rsid w:val="00B32F6A"/>
    <w:rsid w:val="00C57178"/>
    <w:rsid w:val="00CC3283"/>
    <w:rsid w:val="00CE075E"/>
    <w:rsid w:val="00D52DCA"/>
    <w:rsid w:val="00DA2581"/>
    <w:rsid w:val="00DE01AD"/>
    <w:rsid w:val="00E12336"/>
    <w:rsid w:val="00EF2C9D"/>
    <w:rsid w:val="00F06BB1"/>
    <w:rsid w:val="00F17678"/>
    <w:rsid w:val="00F249AD"/>
    <w:rsid w:val="00F36336"/>
    <w:rsid w:val="00F46039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2019-07-22T15:18:00Z</dcterms:created>
  <dcterms:modified xsi:type="dcterms:W3CDTF">2019-07-22T16:19:00Z</dcterms:modified>
</cp:coreProperties>
</file>